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W w:w="10180" w:type="dxa"/>
        <w:tblBorders>
          <w:top w:val="nil" w:sz="5" w:color="DBE3E3"/>
          <w:left w:val="nil" w:sz="5" w:color="DBE3E3"/>
          <w:bottom w:val="nil" w:sz="5" w:color="DBE3E3"/>
          <w:right w:val="nil" w:sz="5" w:color="DBE3E3"/>
          <w:insideH w:val="nil" w:sz="5" w:color="DBE3E3"/>
          <w:insideV w:val="nil" w:sz="5" w:color="DBE3E3"/>
        </w:tblBorders>
      </w:tblPr>
      <w:tblGrid>
        <w:gridCol w:w="8568"/>
        <w:gridCol w:w="1613"/>
      </w:tblGrid>
      <w:tr>
        <w:trPr>
          <w:cantSplit/>
        </w:trPr>
        <w:tc>
          <w:tcPr>
            <w:tcW w:type="dxa" w:w="856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spacing w:before="0" w:after="160" w:line="269" w:lineRule="auto"/>
            </w:pPr>
            <w:r>
              <w:rPr>
                <w:rFonts w:ascii="Calibri" w:hAnsi="Calibri"/>
                <w:b/>
                <w:color w:val="245A65"/>
                <w:sz w:val="16"/>
              </w:rPr>
              <w:t>SENIOR SOFTWARE ENGINEER</w:t>
            </w:r>
          </w:p>
          <w:p>
            <w:pPr>
              <w:pStyle w:val="Title"/>
              <w:keepNext w:val="0"/>
              <w:spacing w:before="0" w:after="160" w:line="269" w:lineRule="auto"/>
            </w:pPr>
            <w:r>
              <w:rPr>
                <w:rFonts w:ascii="Georgia" w:hAnsi="Georgia"/>
                <w:b w:val="0"/>
                <w:color w:val="152A34"/>
                <w:sz w:val="50"/>
              </w:rPr>
              <w:t>Gazi Md Saiful Hoque</w:t>
            </w:r>
          </w:p>
          <w:p>
            <w:pPr>
              <w:keepNext w:val="0"/>
              <w:spacing w:before="0" w:after="140" w:line="269" w:lineRule="auto"/>
            </w:pPr>
            <w:r>
              <w:rPr>
                <w:rFonts w:ascii="Calibri" w:hAnsi="Calibri"/>
                <w:b/>
                <w:color w:val="152A34"/>
                <w:sz w:val="24"/>
              </w:rPr>
              <w:t>AI &amp; Agentic Systems Developer</w:t>
            </w:r>
          </w:p>
          <w:p>
            <w:pPr>
              <w:keepNext w:val="0"/>
              <w:spacing w:before="0" w:after="0" w:line="269" w:lineRule="auto"/>
            </w:pPr>
            <w:r>
              <w:rPr>
                <w:rFonts w:ascii="Calibri" w:hAnsi="Calibri"/>
                <w:b w:val="0"/>
                <w:color w:val="62737A"/>
                <w:sz w:val="18"/>
              </w:rPr>
              <w:t>Dhaka, Bangladesh</w:t>
            </w:r>
          </w:p>
        </w:tc>
        <w:tc>
          <w:tcPr>
            <w:tcW w:type="dxa" w:w="161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960120" cy="96012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rofile-clean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120" cy="960120"/>
                          </a:xfrm>
                          <a:prstGeom prst="ellipse"/>
                          <a:ln w="9525">
                            <a:solidFill>
                              <a:srgbClr val="B5C7CA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 w:val="0"/>
        <w:spacing w:before="200" w:after="280" w:line="269" w:lineRule="auto"/>
      </w:pPr>
      <w:r>
        <w:drawing>
          <wp:inline xmlns:a="http://schemas.openxmlformats.org/drawingml/2006/main" xmlns:pic="http://schemas.openxmlformats.org/drawingml/2006/picture">
            <wp:extent cx="118872" cy="11887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ntact-0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18872" cy="118872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  <w:hyperlink r:id="rId11">
        <w:r>
          <w:rPr>
            <w:rFonts w:ascii="Calibri" w:hAnsi="Calibri"/>
            <w:color w:val="245A65"/>
            <w:sz w:val="18"/>
            <w:b/>
          </w:rPr>
          <w:t>LinkedIn</w:t>
        </w:r>
      </w:hyperlink>
      <w:r>
        <w:t xml:space="preserve">     </w:t>
      </w:r>
      <w:r>
        <w:drawing>
          <wp:inline xmlns:a="http://schemas.openxmlformats.org/drawingml/2006/main" xmlns:pic="http://schemas.openxmlformats.org/drawingml/2006/picture">
            <wp:extent cx="118872" cy="118872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ntact-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18872" cy="118872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  <w:hyperlink r:id="rId13">
        <w:r>
          <w:rPr>
            <w:rFonts w:ascii="Calibri" w:hAnsi="Calibri"/>
            <w:color w:val="245A65"/>
            <w:sz w:val="18"/>
          </w:rPr>
          <w:t>saifulhoque30@gmail.com</w:t>
        </w:r>
      </w:hyperlink>
      <w:r>
        <w:t xml:space="preserve">     </w:t>
      </w:r>
      <w:r>
        <w:drawing>
          <wp:inline xmlns:a="http://schemas.openxmlformats.org/drawingml/2006/main" xmlns:pic="http://schemas.openxmlformats.org/drawingml/2006/picture">
            <wp:extent cx="118872" cy="118872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ntact-2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18872" cy="118872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  <w:hyperlink r:id="rId15">
        <w:r>
          <w:rPr>
            <w:rFonts w:ascii="Calibri" w:hAnsi="Calibri"/>
            <w:color w:val="245A65"/>
            <w:sz w:val="18"/>
            <w:b/>
          </w:rPr>
          <w:t>+880 1515 672237</w:t>
        </w:r>
      </w:hyperlink>
      <w:r>
        <w:t xml:space="preserve">  |  </w:t>
      </w:r>
      <w:r>
        <w:drawing>
          <wp:inline xmlns:a="http://schemas.openxmlformats.org/drawingml/2006/main" xmlns:pic="http://schemas.openxmlformats.org/drawingml/2006/picture">
            <wp:extent cx="118872" cy="118872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ortfolio-icon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18872" cy="118872"/>
                    </a:xfrm>
                    <a:prstGeom prst="rect"/>
                  </pic:spPr>
                </pic:pic>
              </a:graphicData>
            </a:graphic>
          </wp:inline>
        </w:drawing>
      </w:r>
      <w:hyperlink r:id="rId19">
        <w:r>
          <w:rPr>
            <w:color w:val="245A65"/>
            <w:sz w:val="18"/>
          </w:rPr>
          <w:t xml:space="preserve"> Portfolio</w:t>
        </w:r>
      </w:hyperlink>
      <w: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W w:w="10180" w:type="dxa"/>
        <w:tblBorders>
          <w:top w:val="single" w:sz="5" w:color="DBE3E3"/>
          <w:left w:val="single" w:sz="5" w:color="DBE3E3"/>
          <w:bottom w:val="single" w:sz="5" w:color="DBE3E3"/>
          <w:right w:val="single" w:sz="5" w:color="DBE3E3"/>
          <w:insideH w:val="single" w:sz="5" w:color="DBE3E3"/>
          <w:insideV w:val="single" w:sz="5" w:color="DBE3E3"/>
        </w:tblBorders>
      </w:tblPr>
      <w:tblGrid>
        <w:gridCol w:w="3125"/>
        <w:gridCol w:w="3125"/>
        <w:gridCol w:w="3931"/>
      </w:tblGrid>
      <w:tr>
        <w:trPr>
          <w:cantSplit/>
        </w:trPr>
        <w:tc>
          <w:tcPr>
            <w:tcW w:type="dxa" w:w="3125"/>
            <w:tcMar>
              <w:top w:w="140" w:type="dxa"/>
              <w:left w:w="140" w:type="dxa"/>
              <w:bottom w:w="140" w:type="dxa"/>
              <w:right w:w="140" w:type="dxa"/>
            </w:tcMar>
            <w:shd w:fill="F1F5F4" w:val="clear"/>
            <w:vAlign w:val="center"/>
          </w:tcPr>
          <w:p>
            <w:pPr>
              <w:keepNext w:val="0"/>
              <w:spacing w:before="0" w:after="60" w:line="269" w:lineRule="auto"/>
            </w:pPr>
            <w:r>
              <w:rPr>
                <w:rFonts w:ascii="Calibri" w:hAnsi="Calibri"/>
                <w:b/>
                <w:color w:val="152A34"/>
                <w:sz w:val="30"/>
              </w:rPr>
              <w:t>6+ years</w:t>
            </w:r>
          </w:p>
          <w:p>
            <w:pPr>
              <w:keepNext w:val="0"/>
              <w:spacing w:before="0" w:after="0" w:line="269" w:lineRule="auto"/>
            </w:pPr>
            <w:r>
              <w:rPr>
                <w:rFonts w:ascii="Calibri" w:hAnsi="Calibri"/>
                <w:b w:val="0"/>
                <w:color w:val="62737A"/>
                <w:sz w:val="16"/>
              </w:rPr>
              <w:t>Production software delivery</w:t>
            </w:r>
          </w:p>
        </w:tc>
        <w:tc>
          <w:tcPr>
            <w:tcW w:type="dxa" w:w="3125"/>
            <w:tcMar>
              <w:top w:w="140" w:type="dxa"/>
              <w:left w:w="140" w:type="dxa"/>
              <w:bottom w:w="140" w:type="dxa"/>
              <w:right w:w="140" w:type="dxa"/>
            </w:tcMar>
            <w:shd w:fill="F1F5F4" w:val="clear"/>
            <w:vAlign w:val="center"/>
          </w:tcPr>
          <w:p>
            <w:pPr>
              <w:keepNext w:val="0"/>
              <w:spacing w:before="0" w:after="60" w:line="269" w:lineRule="auto"/>
            </w:pPr>
            <w:r>
              <w:rPr>
                <w:rFonts w:ascii="Calibri" w:hAnsi="Calibri"/>
                <w:b/>
                <w:color w:val="152A34"/>
                <w:sz w:val="30"/>
              </w:rPr>
              <w:t>5 engineers</w:t>
            </w:r>
          </w:p>
          <w:p>
            <w:pPr>
              <w:keepNext w:val="0"/>
              <w:spacing w:before="0" w:after="0" w:line="269" w:lineRule="auto"/>
            </w:pPr>
            <w:r>
              <w:rPr>
                <w:rFonts w:ascii="Calibri" w:hAnsi="Calibri"/>
                <w:b w:val="0"/>
                <w:color w:val="62737A"/>
                <w:sz w:val="16"/>
              </w:rPr>
              <w:t>Team led to successful delivery</w:t>
            </w:r>
          </w:p>
        </w:tc>
        <w:tc>
          <w:tcPr>
            <w:tcW w:type="dxa" w:w="3931"/>
            <w:tcMar>
              <w:top w:w="140" w:type="dxa"/>
              <w:left w:w="140" w:type="dxa"/>
              <w:bottom w:w="140" w:type="dxa"/>
              <w:right w:w="140" w:type="dxa"/>
            </w:tcMar>
            <w:shd w:fill="F1F5F4" w:val="clear"/>
            <w:vAlign w:val="center"/>
          </w:tcPr>
          <w:p>
            <w:pPr>
              <w:keepNext w:val="0"/>
              <w:spacing w:before="0" w:after="60" w:line="269" w:lineRule="auto"/>
            </w:pPr>
            <w:r>
              <w:rPr>
                <w:rFonts w:ascii="Calibri" w:hAnsi="Calibri"/>
                <w:b/>
                <w:color w:val="152A34"/>
                <w:sz w:val="30"/>
              </w:rPr>
              <w:t>10+ projects</w:t>
            </w:r>
          </w:p>
          <w:p>
            <w:pPr>
              <w:keepNext w:val="0"/>
              <w:spacing w:before="0" w:after="0" w:line="269" w:lineRule="auto"/>
            </w:pPr>
            <w:r>
              <w:rPr>
                <w:rFonts w:ascii="Calibri" w:hAnsi="Calibri"/>
                <w:b w:val="0"/>
                <w:color w:val="62737A"/>
                <w:sz w:val="16"/>
              </w:rPr>
              <w:t>Client projects completed</w:t>
            </w:r>
          </w:p>
        </w:tc>
      </w:tr>
    </w:tbl>
    <w:p>
      <w:pPr>
        <w:keepNext w:val="0"/>
        <w:spacing w:before="240" w:after="200" w:line="312" w:lineRule="auto"/>
      </w:pPr>
      <w:r>
        <w:rPr>
          <w:rFonts w:ascii="Calibri" w:hAnsi="Calibri"/>
          <w:color w:val="152A34"/>
          <w:sz w:val="21"/>
        </w:rPr>
        <w:t>Software engineer with 6+ years shipping enterprise mobile and web products, now focused on applied AI. Completed 10+ client projects. Designs agentic workflows and integrates LLMs into products and developer pipelines. Recognized with BJIT’s AI ROI Champion Award 2026 for measurable business value through AI.</w:t>
      </w:r>
    </w:p>
    <w:p>
      <w:pPr>
        <w:pStyle w:val="Heading1"/>
        <w:keepNext/>
        <w:spacing w:before="280" w:after="200" w:line="269" w:lineRule="auto"/>
      </w:pPr>
      <w:r>
        <w:rPr>
          <w:rFonts w:ascii="Calibri" w:hAnsi="Calibri"/>
          <w:b/>
          <w:color w:val="245A65"/>
          <w:sz w:val="18"/>
          <w:spacing w:val="22"/>
        </w:rPr>
        <w:t>PROFESSIONAL EXPERIENCE</w:t>
      </w:r>
    </w:p>
    <w:p>
      <w:pPr>
        <w:keepNext/>
        <w:tabs>
          <w:tab w:pos="10181" w:val="right"/>
        </w:tabs>
        <w:spacing w:before="100" w:after="60" w:line="269" w:lineRule="auto"/>
      </w:pPr>
      <w:r>
        <w:rPr>
          <w:rFonts w:ascii="Calibri" w:hAnsi="Calibri"/>
          <w:b/>
          <w:color w:val="152A34"/>
          <w:sz w:val="24"/>
        </w:rPr>
        <w:t>Senior Software Engineer</w:t>
      </w:r>
      <w:r>
        <w:rPr>
          <w:b w:val="0"/>
          <w:color w:val="62737A"/>
          <w:sz w:val="18"/>
        </w:rPr>
        <w:tab/>
        <w:t>Jul 2025 – Present</w:t>
      </w:r>
    </w:p>
    <w:p>
      <w:pPr>
        <w:keepNext/>
        <w:spacing w:before="0" w:after="140" w:line="269" w:lineRule="auto"/>
      </w:pPr>
      <w:r>
        <w:rPr>
          <w:rFonts w:ascii="Calibri" w:hAnsi="Calibri"/>
          <w:b w:val="0"/>
          <w:color w:val="245A65"/>
          <w:sz w:val="19"/>
        </w:rPr>
        <w:t>BJIT · Dhaka, Bangladesh</w:t>
      </w:r>
    </w:p>
    <w:p>
      <w:pPr>
        <w:widowControl/>
        <w:spacing w:after="100" w:line="276" w:lineRule="auto"/>
        <w:ind w:left="202" w:hanging="202"/>
      </w:pPr>
      <w:r>
        <w:rPr>
          <w:rFonts w:ascii="Calibri" w:hAnsi="Calibri"/>
          <w:color w:val="152A34"/>
          <w:sz w:val="20"/>
        </w:rPr>
        <w:t xml:space="preserve">•  </w:t>
      </w:r>
      <w:r>
        <w:rPr>
          <w:rFonts w:ascii="Calibri" w:hAnsi="Calibri"/>
          <w:b/>
          <w:color w:val="152A34"/>
          <w:sz w:val="20"/>
        </w:rPr>
        <w:t>AI enablement.</w:t>
      </w:r>
      <w:r>
        <w:rPr>
          <w:rFonts w:ascii="Calibri" w:hAnsi="Calibri"/>
          <w:color w:val="152A34"/>
          <w:sz w:val="20"/>
        </w:rPr>
        <w:t xml:space="preserve"> Designed and rolled out agentic workflows and LLM-assisted development pipelines used across teams; earned the AI ROI Champion Award 2026.</w:t>
      </w:r>
    </w:p>
    <w:p>
      <w:pPr>
        <w:widowControl/>
        <w:spacing w:after="100" w:line="276" w:lineRule="auto"/>
        <w:ind w:left="202" w:hanging="202"/>
      </w:pPr>
      <w:r>
        <w:rPr>
          <w:rFonts w:ascii="Calibri" w:hAnsi="Calibri"/>
          <w:color w:val="152A34"/>
          <w:sz w:val="20"/>
        </w:rPr>
        <w:t xml:space="preserve">•  </w:t>
      </w:r>
      <w:r>
        <w:rPr>
          <w:rFonts w:ascii="Calibri" w:hAnsi="Calibri"/>
          <w:b/>
          <w:color w:val="152A34"/>
          <w:sz w:val="20"/>
        </w:rPr>
        <w:t>Technical leadership.</w:t>
      </w:r>
      <w:r>
        <w:rPr>
          <w:rFonts w:ascii="Calibri" w:hAnsi="Calibri"/>
          <w:color w:val="152A34"/>
          <w:sz w:val="20"/>
        </w:rPr>
        <w:t xml:space="preserve"> Led a five-engineer team to successful project delivery, recognized with the Best Performance Award 2025.</w:t>
      </w:r>
    </w:p>
    <w:p>
      <w:pPr>
        <w:widowControl/>
        <w:spacing w:after="100" w:line="276" w:lineRule="auto"/>
        <w:ind w:left="202" w:hanging="202"/>
      </w:pPr>
      <w:r>
        <w:rPr>
          <w:rFonts w:ascii="Calibri" w:hAnsi="Calibri"/>
          <w:color w:val="152A34"/>
          <w:sz w:val="20"/>
        </w:rPr>
        <w:t xml:space="preserve">•  </w:t>
      </w:r>
      <w:r>
        <w:rPr>
          <w:rFonts w:ascii="Calibri" w:hAnsi="Calibri"/>
          <w:b/>
          <w:color w:val="152A34"/>
          <w:sz w:val="20"/>
        </w:rPr>
        <w:t>Product integration.</w:t>
      </w:r>
      <w:r>
        <w:rPr>
          <w:rFonts w:ascii="Calibri" w:hAnsi="Calibri"/>
          <w:color w:val="152A34"/>
          <w:sz w:val="20"/>
        </w:rPr>
        <w:t xml:space="preserve"> Develop custom AI agents, reusable prompts and automation scripts, including Jira workflow automation and developer tools.</w:t>
      </w:r>
    </w:p>
    <w:p>
      <w:pPr>
        <w:widowControl/>
        <w:spacing w:after="100" w:line="276" w:lineRule="auto"/>
        <w:ind w:left="202" w:hanging="202"/>
      </w:pPr>
      <w:r>
        <w:rPr>
          <w:rFonts w:ascii="Calibri" w:hAnsi="Calibri"/>
          <w:color w:val="152A34"/>
          <w:sz w:val="20"/>
        </w:rPr>
        <w:t xml:space="preserve">•  </w:t>
      </w:r>
      <w:r>
        <w:rPr>
          <w:rFonts w:ascii="Calibri" w:hAnsi="Calibri"/>
          <w:b/>
          <w:color w:val="152A34"/>
          <w:sz w:val="20"/>
        </w:rPr>
        <w:t>Architecture.</w:t>
      </w:r>
      <w:r>
        <w:rPr>
          <w:rFonts w:ascii="Calibri" w:hAnsi="Calibri"/>
          <w:color w:val="152A34"/>
          <w:sz w:val="20"/>
        </w:rPr>
        <w:t xml:space="preserve"> Contribute to VB6-to-Blazor (.NET) migration and enterprise modernization; participate in architecture discussions, code reviews and mentoring.</w:t>
      </w:r>
    </w:p>
    <w:p>
      <w:pPr>
        <w:keepNext/>
        <w:tabs>
          <w:tab w:pos="10181" w:val="right"/>
        </w:tabs>
        <w:spacing w:before="100" w:after="60" w:line="269" w:lineRule="auto"/>
      </w:pPr>
      <w:r>
        <w:rPr>
          <w:rFonts w:ascii="Calibri" w:hAnsi="Calibri"/>
          <w:b/>
          <w:color w:val="152A34"/>
          <w:sz w:val="24"/>
        </w:rPr>
        <w:t>Software Engineer</w:t>
      </w:r>
      <w:r>
        <w:rPr>
          <w:b w:val="0"/>
          <w:color w:val="62737A"/>
          <w:sz w:val="18"/>
        </w:rPr>
        <w:tab/>
        <w:t>Nov 2021 – Jul 2025</w:t>
      </w:r>
    </w:p>
    <w:p>
      <w:pPr>
        <w:keepNext/>
        <w:spacing w:before="0" w:after="140" w:line="269" w:lineRule="auto"/>
      </w:pPr>
      <w:r>
        <w:rPr>
          <w:rFonts w:ascii="Calibri" w:hAnsi="Calibri"/>
          <w:b w:val="0"/>
          <w:color w:val="245A65"/>
          <w:sz w:val="19"/>
        </w:rPr>
        <w:t>BJIT · Dhaka, Bangladesh</w:t>
      </w:r>
    </w:p>
    <w:p>
      <w:pPr>
        <w:widowControl/>
        <w:spacing w:after="100" w:line="276" w:lineRule="auto"/>
        <w:ind w:left="202" w:hanging="202"/>
      </w:pPr>
      <w:r>
        <w:rPr>
          <w:rFonts w:ascii="Calibri" w:hAnsi="Calibri"/>
          <w:color w:val="152A34"/>
          <w:sz w:val="20"/>
        </w:rPr>
        <w:t xml:space="preserve">•  </w:t>
      </w:r>
      <w:r>
        <w:rPr>
          <w:rFonts w:ascii="Calibri" w:hAnsi="Calibri"/>
          <w:b/>
          <w:color w:val="152A34"/>
          <w:sz w:val="20"/>
        </w:rPr>
        <w:t>Android modernization.</w:t>
      </w:r>
      <w:r>
        <w:rPr>
          <w:rFonts w:ascii="Calibri" w:hAnsi="Calibri"/>
          <w:color w:val="152A34"/>
          <w:sz w:val="20"/>
        </w:rPr>
        <w:t xml:space="preserve"> Shipped Java and Kotlin applications and migrated legacy XML interfaces to Jetpack Compose; integrated REST APIs and third-party SDKs.</w:t>
      </w:r>
    </w:p>
    <w:p>
      <w:pPr>
        <w:widowControl/>
        <w:spacing w:after="100" w:line="276" w:lineRule="auto"/>
        <w:ind w:left="202" w:hanging="202"/>
      </w:pPr>
      <w:r>
        <w:rPr>
          <w:rFonts w:ascii="Calibri" w:hAnsi="Calibri"/>
          <w:color w:val="152A34"/>
          <w:sz w:val="20"/>
        </w:rPr>
        <w:t xml:space="preserve">•  </w:t>
      </w:r>
      <w:r>
        <w:rPr>
          <w:rFonts w:ascii="Calibri" w:hAnsi="Calibri"/>
          <w:b/>
          <w:color w:val="152A34"/>
          <w:sz w:val="20"/>
        </w:rPr>
        <w:t>Cross-functional delivery.</w:t>
      </w:r>
      <w:r>
        <w:rPr>
          <w:rFonts w:ascii="Calibri" w:hAnsi="Calibri"/>
          <w:color w:val="152A34"/>
          <w:sz w:val="20"/>
        </w:rPr>
        <w:t xml:space="preserve"> Contributed to AI, AR/VR, iOS and ASP.NET / Spring Boot projects for international clients in Agile teams; earned Best Performance Award 2024.</w:t>
      </w:r>
    </w:p>
    <w:p>
      <w:pPr>
        <w:keepNext w:val="0"/>
        <w:spacing w:before="160" w:after="140" w:line="269" w:lineRule="auto"/>
        <w:pBdr>
          <w:top w:val="single" w:sz="6" w:space="7" w:color="DBE3E3"/>
        </w:pBdr>
      </w:pPr>
      <w:r>
        <w:rPr>
          <w:rFonts w:ascii="Calibri" w:hAnsi="Calibri"/>
          <w:b/>
          <w:color w:val="152A34"/>
          <w:sz w:val="19"/>
        </w:rPr>
        <w:t>Junior Software Engineer · Bengal Mobile QA Solution</w:t>
      </w:r>
      <w:r>
        <w:rPr>
          <w:rFonts w:ascii="Calibri" w:hAnsi="Calibri"/>
          <w:color w:val="152A34"/>
          <w:sz w:val="19"/>
        </w:rPr>
        <w:br/>
      </w:r>
      <w:r>
        <w:rPr>
          <w:rFonts w:ascii="Calibri" w:hAnsi="Calibri"/>
          <w:color w:val="152A34"/>
          <w:sz w:val="19"/>
        </w:rPr>
        <w:t>Jun 2019 – Nov 2020 · Dhaka</w:t>
      </w:r>
      <w:r>
        <w:rPr>
          <w:rFonts w:ascii="Calibri" w:hAnsi="Calibri"/>
          <w:color w:val="152A34"/>
          <w:sz w:val="19"/>
        </w:rPr>
        <w:br/>
      </w:r>
      <w:r>
        <w:rPr>
          <w:rFonts w:ascii="Calibri" w:hAnsi="Calibri"/>
          <w:color w:val="152A34"/>
          <w:sz w:val="19"/>
        </w:rPr>
        <w:t>Developed and maintained Android applications for phones, tablets and smart helmets using Java, Kotlin and Android Studio; diagnosed and fixed bugs.</w:t>
      </w:r>
    </w:p>
    <w:p>
      <w:pPr>
        <w:keepNext w:val="0"/>
        <w:spacing w:before="160" w:after="140" w:line="269" w:lineRule="auto"/>
      </w:pPr>
      <w:r>
        <w:rPr>
          <w:rFonts w:ascii="Calibri" w:hAnsi="Calibri"/>
          <w:b/>
          <w:color w:val="152A34"/>
          <w:sz w:val="19"/>
        </w:rPr>
        <w:t>Intern · REVE Systems</w:t>
      </w:r>
      <w:r>
        <w:rPr>
          <w:rFonts w:ascii="Calibri" w:hAnsi="Calibri"/>
          <w:color w:val="152A34"/>
          <w:sz w:val="19"/>
        </w:rPr>
        <w:br/>
      </w:r>
      <w:r>
        <w:rPr>
          <w:rFonts w:ascii="Calibri" w:hAnsi="Calibri"/>
          <w:color w:val="152A34"/>
          <w:sz w:val="19"/>
        </w:rPr>
        <w:t>Jan – Feb 2018 · Dhaka</w:t>
      </w:r>
      <w:r>
        <w:rPr>
          <w:rFonts w:ascii="Calibri" w:hAnsi="Calibri"/>
          <w:color w:val="152A34"/>
          <w:sz w:val="19"/>
        </w:rPr>
        <w:br/>
      </w:r>
      <w:r>
        <w:rPr>
          <w:rFonts w:ascii="Calibri" w:hAnsi="Calibri"/>
          <w:color w:val="152A34"/>
          <w:sz w:val="19"/>
        </w:rPr>
        <w:t>Contributed to the Bangla Text-to-Speech (TTS) project.</w:t>
      </w:r>
    </w:p>
    <w:p>
      <w:pPr>
        <w:pStyle w:val="Heading1"/>
        <w:keepNext/>
        <w:pageBreakBefore/>
        <w:spacing w:before="280" w:after="200" w:line="269" w:lineRule="auto"/>
      </w:pPr>
      <w:r>
        <w:rPr>
          <w:rFonts w:ascii="Calibri" w:hAnsi="Calibri"/>
          <w:b/>
          <w:color w:val="245A65"/>
          <w:sz w:val="18"/>
          <w:spacing w:val="22"/>
        </w:rPr>
        <w:t>PROJECTS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W w:w="10180" w:type="dxa"/>
        <w:tblBorders>
          <w:top w:val="single" w:sz="5" w:color="DBE3E3"/>
          <w:left w:val="single" w:sz="5" w:color="DBE3E3"/>
          <w:bottom w:val="single" w:sz="5" w:color="DBE3E3"/>
          <w:right w:val="single" w:sz="5" w:color="DBE3E3"/>
          <w:insideH w:val="single" w:sz="5" w:color="DBE3E3"/>
          <w:insideV w:val="single" w:sz="5" w:color="DBE3E3"/>
        </w:tblBorders>
      </w:tblPr>
      <w:tblGrid>
        <w:gridCol w:w="10181"/>
      </w:tblGrid>
      <w:tr>
        <w:trPr>
          <w:cantSplit/>
        </w:trPr>
        <w:tc>
          <w:tcPr>
            <w:tcW w:type="dxa" w:w="10181"/>
            <w:tcMar>
              <w:top w:w="170" w:type="dxa"/>
              <w:left w:w="170" w:type="dxa"/>
              <w:bottom w:w="170" w:type="dxa"/>
              <w:right w:w="170" w:type="dxa"/>
            </w:tcMar>
            <w:shd w:fill="F5F7F6" w:val="clear"/>
            <w:vAlign w:val="center"/>
          </w:tcPr>
          <w:p>
            <w:pPr>
              <w:keepNext/>
              <w:spacing w:before="0" w:after="80" w:line="269" w:lineRule="auto"/>
            </w:pPr>
            <w:r>
              <w:rPr>
                <w:rFonts w:ascii="Calibri" w:hAnsi="Calibri"/>
                <w:b/>
                <w:color w:val="152A34"/>
                <w:sz w:val="24"/>
              </w:rPr>
              <w:t>Income Tax Filing Assistant</w:t>
            </w:r>
          </w:p>
          <w:p>
            <w:pPr>
              <w:keepNext/>
              <w:spacing w:before="0" w:after="160" w:line="269" w:lineRule="auto"/>
            </w:pPr>
            <w:r>
              <w:rPr>
                <w:rFonts w:ascii="Calibri" w:hAnsi="Calibri"/>
                <w:b w:val="0"/>
                <w:color w:val="245A65"/>
                <w:sz w:val="18"/>
              </w:rPr>
              <w:t>Bangladesh Income Tax Filing Assistant · Sole Developer</w:t>
            </w:r>
          </w:p>
          <w:p>
            <w:pPr>
              <w:widowControl/>
              <w:spacing w:after="100" w:line="276" w:lineRule="auto"/>
              <w:ind w:left="202" w:hanging="202"/>
            </w:pPr>
            <w:r>
              <w:rPr>
                <w:rFonts w:ascii="Calibri" w:hAnsi="Calibri"/>
                <w:color w:val="152A34"/>
                <w:sz w:val="19"/>
              </w:rPr>
              <w:t xml:space="preserve">•  </w:t>
            </w:r>
            <w:r>
              <w:rPr>
                <w:rFonts w:ascii="Calibri" w:hAnsi="Calibri"/>
                <w:b/>
                <w:color w:val="152A34"/>
                <w:sz w:val="19"/>
              </w:rPr>
              <w:t>Explainable filing.</w:t>
            </w:r>
            <w:r>
              <w:rPr>
                <w:rFonts w:ascii="Calibri" w:hAnsi="Calibri"/>
                <w:color w:val="152A34"/>
                <w:sz w:val="19"/>
              </w:rPr>
              <w:t xml:space="preserve"> Built a guided interview that produces a draft one-page NBR return and a PDF explaining each calculation, using sourced tax facts and a machine-readable form specification.</w:t>
            </w:r>
          </w:p>
          <w:p>
            <w:pPr>
              <w:widowControl/>
              <w:spacing w:after="100" w:line="276" w:lineRule="auto"/>
              <w:ind w:left="202" w:hanging="202"/>
            </w:pPr>
            <w:r>
              <w:rPr>
                <w:rFonts w:ascii="Calibri" w:hAnsi="Calibri"/>
                <w:color w:val="152A34"/>
                <w:sz w:val="19"/>
              </w:rPr>
              <w:t xml:space="preserve">•  </w:t>
            </w:r>
            <w:r>
              <w:rPr>
                <w:rFonts w:ascii="Calibri" w:hAnsi="Calibri"/>
                <w:b/>
                <w:color w:val="152A34"/>
                <w:sz w:val="19"/>
              </w:rPr>
              <w:t>Agent access.</w:t>
            </w:r>
            <w:r>
              <w:rPr>
                <w:rFonts w:ascii="Calibri" w:hAnsi="Calibri"/>
                <w:color w:val="152A34"/>
                <w:sz w:val="19"/>
              </w:rPr>
              <w:t xml:space="preserve"> Exposed the Python tax engine through an MCP server with OpenAI integration, sharing the same engine with the application backend.</w:t>
            </w:r>
          </w:p>
          <w:p>
            <w:pPr>
              <w:widowControl/>
              <w:spacing w:after="100" w:line="276" w:lineRule="auto"/>
              <w:ind w:left="202" w:hanging="202"/>
            </w:pPr>
            <w:r>
              <w:rPr>
                <w:rFonts w:ascii="Calibri" w:hAnsi="Calibri"/>
                <w:color w:val="152A34"/>
                <w:sz w:val="19"/>
              </w:rPr>
              <w:t xml:space="preserve">•  </w:t>
            </w:r>
            <w:r>
              <w:rPr>
                <w:rFonts w:ascii="Calibri" w:hAnsi="Calibri"/>
                <w:b/>
                <w:color w:val="152A34"/>
                <w:sz w:val="19"/>
              </w:rPr>
              <w:t>Full-stack delivery.</w:t>
            </w:r>
            <w:r>
              <w:rPr>
                <w:rFonts w:ascii="Calibri" w:hAnsi="Calibri"/>
                <w:color w:val="152A34"/>
                <w:sz w:val="19"/>
              </w:rPr>
              <w:t xml:space="preserve"> Built FastAPI with async SQLAlchemy, Alembic and PostgreSQL; React / TypeScript with Vite and Vitest; Docker deployment and GitHub Actions CI/CD.</w:t>
            </w:r>
          </w:p>
          <w:p>
            <w:pPr>
              <w:keepNext w:val="0"/>
              <w:spacing w:before="140" w:after="0" w:line="269" w:lineRule="auto"/>
              <w:pBdr>
                <w:top w:val="single" w:sz="6" w:space="6" w:color="DBE3E3"/>
              </w:pBdr>
            </w:pPr>
            <w:r>
              <w:rPr>
                <w:rFonts w:ascii="Calibri" w:hAnsi="Calibri"/>
                <w:b w:val="0"/>
                <w:color w:val="245A65"/>
                <w:sz w:val="17"/>
              </w:rPr>
              <w:t>Python · FastAPI · MCP · OpenAI · PostgreSQL · React · TypeScript · Docker</w:t>
            </w:r>
          </w:p>
        </w:tc>
      </w:tr>
    </w:tbl>
    <w:p>
      <w:pPr>
        <w:keepNext w:val="0"/>
        <w:spacing w:before="0" w:after="140" w:line="269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W w:w="10180" w:type="dxa"/>
        <w:tblBorders>
          <w:top w:val="single" w:sz="5" w:color="DBE3E3"/>
          <w:left w:val="single" w:sz="5" w:color="DBE3E3"/>
          <w:bottom w:val="single" w:sz="5" w:color="DBE3E3"/>
          <w:right w:val="single" w:sz="5" w:color="DBE3E3"/>
          <w:insideH w:val="single" w:sz="5" w:color="DBE3E3"/>
          <w:insideV w:val="single" w:sz="5" w:color="DBE3E3"/>
        </w:tblBorders>
      </w:tblPr>
      <w:tblGrid>
        <w:gridCol w:w="10181"/>
      </w:tblGrid>
      <w:tr>
        <w:trPr>
          <w:cantSplit/>
        </w:trPr>
        <w:tc>
          <w:tcPr>
            <w:tcW w:type="dxa" w:w="10181"/>
            <w:tcMar>
              <w:top w:w="170" w:type="dxa"/>
              <w:left w:w="170" w:type="dxa"/>
              <w:bottom w:w="170" w:type="dxa"/>
              <w:right w:w="170" w:type="dxa"/>
            </w:tcMar>
            <w:shd w:fill="F5F7F6" w:val="clear"/>
            <w:vAlign w:val="center"/>
          </w:tcPr>
          <w:p>
            <w:pPr>
              <w:keepNext/>
              <w:spacing w:before="0" w:after="80" w:line="269" w:lineRule="auto"/>
            </w:pPr>
            <w:r>
              <w:rPr>
                <w:rFonts w:ascii="Calibri" w:hAnsi="Calibri"/>
                <w:b/>
                <w:color w:val="152A34"/>
                <w:sz w:val="24"/>
              </w:rPr>
              <w:t>Agentic Server Maintenance Platform</w:t>
            </w:r>
          </w:p>
          <w:p>
            <w:pPr>
              <w:keepNext/>
              <w:spacing w:before="0" w:after="160" w:line="269" w:lineRule="auto"/>
            </w:pPr>
            <w:r>
              <w:rPr>
                <w:rFonts w:ascii="Calibri" w:hAnsi="Calibri"/>
                <w:b w:val="0"/>
                <w:color w:val="245A65"/>
                <w:sz w:val="18"/>
              </w:rPr>
              <w:t>Lead Developer</w:t>
            </w:r>
          </w:p>
          <w:p>
            <w:pPr>
              <w:widowControl/>
              <w:spacing w:after="100" w:line="276" w:lineRule="auto"/>
              <w:ind w:left="202" w:hanging="202"/>
            </w:pPr>
            <w:r>
              <w:rPr>
                <w:rFonts w:ascii="Calibri" w:hAnsi="Calibri"/>
                <w:color w:val="152A34"/>
                <w:sz w:val="19"/>
              </w:rPr>
              <w:t xml:space="preserve">•  </w:t>
            </w:r>
            <w:r>
              <w:rPr>
                <w:rFonts w:ascii="Calibri" w:hAnsi="Calibri"/>
                <w:b/>
                <w:color w:val="152A34"/>
                <w:sz w:val="19"/>
              </w:rPr>
              <w:t>Lead development.</w:t>
            </w:r>
            <w:r>
              <w:rPr>
                <w:rFonts w:ascii="Calibri" w:hAnsi="Calibri"/>
                <w:color w:val="152A34"/>
                <w:sz w:val="19"/>
              </w:rPr>
              <w:t xml:space="preserve"> Led development of an agent-based maintenance platform designed to monitor servers, applications and databases through client-side agents and centralized orchestration.</w:t>
            </w:r>
          </w:p>
          <w:p>
            <w:pPr>
              <w:widowControl/>
              <w:spacing w:after="100" w:line="276" w:lineRule="auto"/>
              <w:ind w:left="202" w:hanging="202"/>
            </w:pPr>
            <w:r>
              <w:rPr>
                <w:rFonts w:ascii="Calibri" w:hAnsi="Calibri"/>
                <w:color w:val="152A34"/>
                <w:sz w:val="19"/>
              </w:rPr>
              <w:t xml:space="preserve">•  </w:t>
            </w:r>
            <w:r>
              <w:rPr>
                <w:rFonts w:ascii="Calibri" w:hAnsi="Calibri"/>
                <w:b/>
                <w:color w:val="152A34"/>
                <w:sz w:val="19"/>
              </w:rPr>
              <w:t>Incident workflows.</w:t>
            </w:r>
            <w:r>
              <w:rPr>
                <w:rFonts w:ascii="Calibri" w:hAnsi="Calibri"/>
                <w:color w:val="152A34"/>
                <w:sz w:val="19"/>
              </w:rPr>
              <w:t xml:space="preserve"> Development scope covered health dashboards, conversational incident handling and Jira ticket workflows from issue detection through remediation and verification.</w:t>
            </w:r>
          </w:p>
          <w:p>
            <w:pPr>
              <w:widowControl/>
              <w:spacing w:after="100" w:line="276" w:lineRule="auto"/>
              <w:ind w:left="202" w:hanging="202"/>
            </w:pPr>
            <w:r>
              <w:rPr>
                <w:rFonts w:ascii="Calibri" w:hAnsi="Calibri"/>
                <w:color w:val="152A34"/>
                <w:sz w:val="19"/>
              </w:rPr>
              <w:t xml:space="preserve">•  </w:t>
            </w:r>
            <w:r>
              <w:rPr>
                <w:rFonts w:ascii="Calibri" w:hAnsi="Calibri"/>
                <w:b/>
                <w:color w:val="152A34"/>
                <w:sz w:val="19"/>
              </w:rPr>
              <w:t>Controlled remediation.</w:t>
            </w:r>
            <w:r>
              <w:rPr>
                <w:rFonts w:ascii="Calibri" w:hAnsi="Calibri"/>
                <w:color w:val="152A34"/>
                <w:sz w:val="19"/>
              </w:rPr>
              <w:t xml:space="preserve"> Led development around approval-gated operational actions, engineer review of code changes, dry-run and rollback workflows, and auditable incident tracking.</w:t>
            </w:r>
          </w:p>
          <w:p>
            <w:pPr>
              <w:keepNext w:val="0"/>
              <w:spacing w:before="140" w:after="0" w:line="269" w:lineRule="auto"/>
              <w:pBdr>
                <w:top w:val="single" w:sz="6" w:space="6" w:color="DBE3E3"/>
              </w:pBdr>
            </w:pPr>
            <w:r>
              <w:rPr>
                <w:rFonts w:ascii="Calibri" w:hAnsi="Calibri"/>
                <w:b w:val="0"/>
                <w:color w:val="245A65"/>
                <w:sz w:val="17"/>
              </w:rPr>
              <w:t>Client-side agents · Central orchestration · Jira · Approval workflows</w:t>
            </w:r>
          </w:p>
        </w:tc>
      </w:tr>
    </w:tbl>
    <w:p>
      <w:pPr>
        <w:keepNext w:val="0"/>
        <w:spacing w:before="0" w:after="140" w:line="269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W w:w="10180" w:type="dxa"/>
        <w:tblBorders>
          <w:top w:val="single" w:sz="5" w:color="DBE3E3"/>
          <w:left w:val="single" w:sz="5" w:color="DBE3E3"/>
          <w:bottom w:val="single" w:sz="5" w:color="DBE3E3"/>
          <w:right w:val="single" w:sz="5" w:color="DBE3E3"/>
          <w:insideH w:val="single" w:sz="5" w:color="DBE3E3"/>
          <w:insideV w:val="single" w:sz="5" w:color="DBE3E3"/>
        </w:tblBorders>
      </w:tblPr>
      <w:tblGrid>
        <w:gridCol w:w="10181"/>
      </w:tblGrid>
      <w:tr>
        <w:trPr>
          <w:cantSplit/>
        </w:trPr>
        <w:tc>
          <w:tcPr>
            <w:tcW w:type="dxa" w:w="10181"/>
            <w:tcMar>
              <w:top w:w="170" w:type="dxa"/>
              <w:left w:w="170" w:type="dxa"/>
              <w:bottom w:w="170" w:type="dxa"/>
              <w:right w:w="170" w:type="dxa"/>
            </w:tcMar>
            <w:shd w:fill="F5F7F6" w:val="clear"/>
            <w:vAlign w:val="center"/>
          </w:tcPr>
          <w:p>
            <w:pPr>
              <w:keepNext/>
              <w:spacing w:before="0" w:after="80" w:line="269" w:lineRule="auto"/>
            </w:pPr>
            <w:r>
              <w:rPr>
                <w:rFonts w:ascii="Calibri" w:hAnsi="Calibri"/>
                <w:b/>
                <w:color w:val="152A34"/>
                <w:sz w:val="24"/>
              </w:rPr>
              <w:t>AI Code Review Automation</w:t>
            </w:r>
          </w:p>
          <w:p>
            <w:pPr>
              <w:keepNext/>
              <w:spacing w:before="0" w:after="160" w:line="269" w:lineRule="auto"/>
            </w:pPr>
            <w:r>
              <w:rPr>
                <w:rFonts w:ascii="Calibri" w:hAnsi="Calibri"/>
                <w:b w:val="0"/>
                <w:color w:val="245A65"/>
                <w:sz w:val="18"/>
              </w:rPr>
              <w:t>AI Engineering | 2026 - Present</w:t>
            </w:r>
          </w:p>
          <w:p>
            <w:pPr>
              <w:widowControl/>
              <w:spacing w:after="100" w:line="276" w:lineRule="auto"/>
              <w:ind w:left="202" w:hanging="202"/>
            </w:pPr>
            <w:r>
              <w:rPr>
                <w:rFonts w:ascii="Calibri" w:hAnsi="Calibri"/>
                <w:color w:val="152A34"/>
                <w:sz w:val="19"/>
              </w:rPr>
              <w:t xml:space="preserve">•  </w:t>
            </w:r>
            <w:r>
              <w:rPr>
                <w:rFonts w:ascii="Calibri" w:hAnsi="Calibri"/>
                <w:b/>
                <w:color w:val="152A34"/>
                <w:sz w:val="19"/>
              </w:rPr>
              <w:t>Engineering tools.</w:t>
            </w:r>
            <w:r>
              <w:rPr>
                <w:rFonts w:ascii="Calibri" w:hAnsi="Calibri"/>
                <w:color w:val="152A34"/>
                <w:sz w:val="19"/>
              </w:rPr>
              <w:t xml:space="preserve"> Develop AI-assisted source code review tooling with OpenAI and Python to support engineering teams during code review.</w:t>
            </w:r>
          </w:p>
          <w:p>
            <w:pPr>
              <w:widowControl/>
              <w:spacing w:after="100" w:line="276" w:lineRule="auto"/>
              <w:ind w:left="202" w:hanging="202"/>
            </w:pPr>
            <w:r>
              <w:rPr>
                <w:rFonts w:ascii="Calibri" w:hAnsi="Calibri"/>
                <w:color w:val="152A34"/>
                <w:sz w:val="19"/>
              </w:rPr>
              <w:t xml:space="preserve">•  </w:t>
            </w:r>
            <w:r>
              <w:rPr>
                <w:rFonts w:ascii="Calibri" w:hAnsi="Calibri"/>
                <w:b/>
                <w:color w:val="152A34"/>
                <w:sz w:val="19"/>
              </w:rPr>
              <w:t>Agent workflow integration.</w:t>
            </w:r>
            <w:r>
              <w:rPr>
                <w:rFonts w:ascii="Calibri" w:hAnsi="Calibri"/>
                <w:color w:val="152A34"/>
                <w:sz w:val="19"/>
              </w:rPr>
              <w:t xml:space="preserve"> Combine LangGraph and LangChain with Model Context Protocol (MCP) integration in the AI code review workflow.</w:t>
            </w:r>
          </w:p>
          <w:p>
            <w:pPr>
              <w:keepNext w:val="0"/>
              <w:spacing w:before="140" w:after="0" w:line="269" w:lineRule="auto"/>
              <w:pBdr>
                <w:top w:val="single" w:sz="6" w:space="6" w:color="DBE3E3"/>
              </w:pBdr>
            </w:pPr>
            <w:r>
              <w:rPr>
                <w:rFonts w:ascii="Calibri" w:hAnsi="Calibri"/>
                <w:b w:val="0"/>
                <w:color w:val="245A65"/>
                <w:sz w:val="17"/>
              </w:rPr>
              <w:t>OpenAI · Python · MCP · LangGraph · LangChain</w:t>
            </w:r>
          </w:p>
        </w:tc>
      </w:tr>
    </w:tbl>
    <w:p>
      <w:pPr>
        <w:keepNext w:val="0"/>
        <w:spacing w:before="0" w:after="140" w:line="269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W w:w="10180" w:type="dxa"/>
        <w:tblBorders>
          <w:top w:val="single" w:sz="5" w:color="DBE3E3"/>
          <w:left w:val="single" w:sz="5" w:color="DBE3E3"/>
          <w:bottom w:val="single" w:sz="5" w:color="DBE3E3"/>
          <w:right w:val="single" w:sz="5" w:color="DBE3E3"/>
          <w:insideH w:val="single" w:sz="5" w:color="DBE3E3"/>
          <w:insideV w:val="single" w:sz="5" w:color="DBE3E3"/>
        </w:tblBorders>
      </w:tblPr>
      <w:tblGrid>
        <w:gridCol w:w="10181"/>
      </w:tblGrid>
      <w:tr>
        <w:trPr>
          <w:cantSplit/>
        </w:trPr>
        <w:tc>
          <w:tcPr>
            <w:tcW w:type="dxa" w:w="10181"/>
            <w:tcMar>
              <w:top w:w="170" w:type="dxa"/>
              <w:left w:w="170" w:type="dxa"/>
              <w:bottom w:w="170" w:type="dxa"/>
              <w:right w:w="170" w:type="dxa"/>
            </w:tcMar>
            <w:shd w:fill="F5F7F6" w:val="clear"/>
            <w:vAlign w:val="center"/>
          </w:tcPr>
          <w:p>
            <w:pPr>
              <w:keepNext/>
              <w:spacing w:before="0" w:after="80" w:line="269" w:lineRule="auto"/>
            </w:pPr>
            <w:r>
              <w:rPr>
                <w:rFonts w:ascii="Calibri" w:hAnsi="Calibri"/>
                <w:b/>
                <w:color w:val="152A34"/>
                <w:sz w:val="24"/>
              </w:rPr>
              <w:t>Autonomous Legacy Code Migration</w:t>
            </w:r>
          </w:p>
          <w:p>
            <w:pPr>
              <w:keepNext/>
              <w:spacing w:before="0" w:after="160" w:line="269" w:lineRule="auto"/>
            </w:pPr>
            <w:r>
              <w:rPr>
                <w:rFonts w:ascii="Calibri" w:hAnsi="Calibri"/>
                <w:b w:val="0"/>
                <w:color w:val="245A65"/>
                <w:sz w:val="18"/>
              </w:rPr>
              <w:t>AI Migration System Developer | Pharmaceutical Software | 2025 - 2026</w:t>
            </w:r>
          </w:p>
          <w:p>
            <w:pPr>
              <w:widowControl/>
              <w:spacing w:after="100" w:line="276" w:lineRule="auto"/>
              <w:ind w:left="202" w:hanging="202"/>
            </w:pPr>
            <w:r>
              <w:rPr>
                <w:rFonts w:ascii="Calibri" w:hAnsi="Calibri"/>
                <w:color w:val="152A34"/>
                <w:sz w:val="19"/>
              </w:rPr>
              <w:t xml:space="preserve">•  </w:t>
            </w:r>
            <w:r>
              <w:rPr>
                <w:rFonts w:ascii="Calibri" w:hAnsi="Calibri"/>
                <w:b/>
                <w:color w:val="152A34"/>
                <w:sz w:val="19"/>
              </w:rPr>
              <w:t>Autonomous migration.</w:t>
            </w:r>
            <w:r>
              <w:rPr>
                <w:rFonts w:ascii="Calibri" w:hAnsi="Calibri"/>
                <w:color w:val="152A34"/>
                <w:sz w:val="19"/>
              </w:rPr>
              <w:t xml:space="preserve"> Built an autonomous migration system that automatically converted legacy VB6 code to Blazor and C#, following the client’s coding conventions. Applied the system to a pharmaceutical software migration using ASP.NET Core and MSSQL.</w:t>
            </w:r>
          </w:p>
          <w:p>
            <w:pPr>
              <w:keepNext w:val="0"/>
              <w:spacing w:before="140" w:after="0" w:line="269" w:lineRule="auto"/>
              <w:pBdr>
                <w:top w:val="single" w:sz="6" w:space="6" w:color="DBE3E3"/>
              </w:pBdr>
            </w:pPr>
            <w:r>
              <w:rPr>
                <w:rFonts w:ascii="Calibri" w:hAnsi="Calibri"/>
                <w:b w:val="0"/>
                <w:color w:val="245A65"/>
                <w:sz w:val="17"/>
              </w:rPr>
              <w:t>VB6 · Blazor · C# · ASP.NET Core · MSSQL</w:t>
            </w:r>
          </w:p>
        </w:tc>
      </w:tr>
    </w:tbl>
    <w:p>
      <w:pPr>
        <w:keepNext w:val="0"/>
        <w:spacing w:before="0" w:after="140" w:line="269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W w:w="10180" w:type="dxa"/>
        <w:tblBorders>
          <w:top w:val="single" w:sz="5" w:color="DBE3E3"/>
          <w:left w:val="single" w:sz="5" w:color="DBE3E3"/>
          <w:bottom w:val="single" w:sz="5" w:color="DBE3E3"/>
          <w:right w:val="single" w:sz="5" w:color="DBE3E3"/>
          <w:insideH w:val="single" w:sz="5" w:color="DBE3E3"/>
          <w:insideV w:val="single" w:sz="5" w:color="DBE3E3"/>
        </w:tblBorders>
      </w:tblPr>
      <w:tblGrid>
        <w:gridCol w:w="10181"/>
      </w:tblGrid>
      <w:tr>
        <w:trPr>
          <w:cantSplit/>
        </w:trPr>
        <w:tc>
          <w:tcPr>
            <w:tcW w:type="dxa" w:w="10181"/>
            <w:tcMar>
              <w:top w:w="170" w:type="dxa"/>
              <w:left w:w="170" w:type="dxa"/>
              <w:bottom w:w="170" w:type="dxa"/>
              <w:right w:w="170" w:type="dxa"/>
            </w:tcMar>
            <w:shd w:fill="F5F7F6" w:val="clear"/>
            <w:vAlign w:val="center"/>
          </w:tcPr>
          <w:p>
            <w:pPr>
              <w:keepNext/>
              <w:spacing w:before="0" w:after="80" w:line="269" w:lineRule="auto"/>
            </w:pPr>
            <w:r>
              <w:rPr>
                <w:rFonts w:ascii="Calibri" w:hAnsi="Calibri"/>
                <w:b/>
                <w:color w:val="152A34"/>
                <w:sz w:val="24"/>
              </w:rPr>
              <w:t>Field Operations and Metering</w:t>
            </w:r>
          </w:p>
          <w:p>
            <w:pPr>
              <w:keepNext/>
              <w:spacing w:before="0" w:after="160" w:line="269" w:lineRule="auto"/>
            </w:pPr>
            <w:r>
              <w:rPr>
                <w:rFonts w:ascii="Calibri" w:hAnsi="Calibri"/>
                <w:b w:val="0"/>
                <w:color w:val="245A65"/>
                <w:sz w:val="18"/>
              </w:rPr>
              <w:t>Team Lead | Android Engineering</w:t>
            </w:r>
          </w:p>
          <w:p>
            <w:pPr>
              <w:widowControl/>
              <w:spacing w:after="100" w:line="276" w:lineRule="auto"/>
              <w:ind w:left="202" w:hanging="202"/>
            </w:pPr>
            <w:r>
              <w:rPr>
                <w:rFonts w:ascii="Calibri" w:hAnsi="Calibri"/>
                <w:color w:val="152A34"/>
                <w:sz w:val="19"/>
              </w:rPr>
              <w:t xml:space="preserve">•  </w:t>
            </w:r>
            <w:r>
              <w:rPr>
                <w:rFonts w:ascii="Calibri" w:hAnsi="Calibri"/>
                <w:b/>
                <w:color w:val="152A34"/>
                <w:sz w:val="19"/>
              </w:rPr>
              <w:t>Leadership and planning.</w:t>
            </w:r>
            <w:r>
              <w:rPr>
                <w:rFonts w:ascii="Calibri" w:hAnsi="Calibri"/>
                <w:color w:val="152A34"/>
                <w:sz w:val="19"/>
              </w:rPr>
              <w:t xml:space="preserve"> Analyzed requirements and work breakdown, reviewed code, contributed to development and coordinated across teams.</w:t>
            </w:r>
          </w:p>
          <w:p>
            <w:pPr>
              <w:widowControl/>
              <w:spacing w:after="100" w:line="276" w:lineRule="auto"/>
              <w:ind w:left="202" w:hanging="202"/>
            </w:pPr>
            <w:r>
              <w:rPr>
                <w:rFonts w:ascii="Calibri" w:hAnsi="Calibri"/>
                <w:color w:val="152A34"/>
                <w:sz w:val="19"/>
              </w:rPr>
              <w:t xml:space="preserve">•  </w:t>
            </w:r>
            <w:r>
              <w:rPr>
                <w:rFonts w:ascii="Calibri" w:hAnsi="Calibri"/>
                <w:b/>
                <w:color w:val="152A34"/>
                <w:sz w:val="19"/>
              </w:rPr>
              <w:t>Architecture and implementation.</w:t>
            </w:r>
            <w:r>
              <w:rPr>
                <w:rFonts w:ascii="Calibri" w:hAnsi="Calibri"/>
                <w:color w:val="152A34"/>
                <w:sz w:val="19"/>
              </w:rPr>
              <w:t xml:space="preserve"> Built a Jetpack Compose application using MVVM, Hilt, Retrofit, Room, Navigation Component, Firebase and mapping APIs.</w:t>
            </w:r>
          </w:p>
          <w:p>
            <w:pPr>
              <w:keepNext w:val="0"/>
              <w:spacing w:before="140" w:after="0" w:line="269" w:lineRule="auto"/>
              <w:pBdr>
                <w:top w:val="single" w:sz="6" w:space="6" w:color="DBE3E3"/>
              </w:pBdr>
            </w:pPr>
            <w:r>
              <w:rPr>
                <w:rFonts w:ascii="Calibri" w:hAnsi="Calibri"/>
                <w:b w:val="0"/>
                <w:color w:val="245A65"/>
                <w:sz w:val="17"/>
              </w:rPr>
              <w:t>Kotlin · Jetpack Compose · MVVM · Hilt · Retrofit · Room · Firebase</w:t>
            </w:r>
          </w:p>
        </w:tc>
      </w:tr>
    </w:tbl>
    <w:p>
      <w:pPr>
        <w:keepNext w:val="0"/>
        <w:spacing w:before="0" w:after="140" w:line="269" w:lineRule="auto"/>
      </w:pPr>
    </w:p>
    <w:p>
      <w:pPr>
        <w:pStyle w:val="Heading1"/>
        <w:keepNext/>
        <w:spacing w:before="280" w:after="200" w:line="269" w:lineRule="auto"/>
      </w:pPr>
      <w:r>
        <w:rPr>
          <w:rFonts w:ascii="Calibri" w:hAnsi="Calibri"/>
          <w:b/>
          <w:color w:val="245A65"/>
          <w:sz w:val="18"/>
          <w:spacing w:val="22"/>
        </w:rPr>
        <w:t>TECHNICAL SKILLS</w:t>
      </w:r>
    </w:p>
    <w:p>
      <w:pPr>
        <w:keepNext w:val="0"/>
        <w:spacing w:before="0" w:after="160" w:line="269" w:lineRule="auto"/>
      </w:pPr>
      <w:r>
        <w:rPr>
          <w:b/>
        </w:rPr>
        <w:t xml:space="preserve">AI and agents: </w:t>
      </w:r>
      <w:r>
        <w:t>Large Language Models (LLMs), agentic workflows, Retrieval-Augmented Generation (RAG), Model Context Protocol (MCP), OpenAI integration, LangChain, LangGraph, prompt engineering and evals</w:t>
      </w:r>
    </w:p>
    <w:p>
      <w:pPr>
        <w:keepNext w:val="0"/>
        <w:spacing w:before="0" w:after="160" w:line="269" w:lineRule="auto"/>
      </w:pPr>
      <w:r>
        <w:rPr>
          <w:b/>
        </w:rPr>
        <w:t xml:space="preserve">Backend and data: </w:t>
      </w:r>
      <w:r>
        <w:t>Python, FastAPI, PostgreSQL, SQLAlchemy, C#, ASP.NET Core, Blazor, MSSQL, REST APIs</w:t>
      </w:r>
    </w:p>
    <w:p>
      <w:pPr>
        <w:keepNext w:val="0"/>
        <w:spacing w:before="0" w:after="160" w:line="269" w:lineRule="auto"/>
      </w:pPr>
      <w:r>
        <w:rPr>
          <w:b/>
        </w:rPr>
        <w:t xml:space="preserve">Product engineering: </w:t>
      </w:r>
      <w:r>
        <w:t>React, TypeScript, Kotlin, Java, Jetpack Compose, MVVM, Coroutines</w:t>
      </w:r>
    </w:p>
    <w:p>
      <w:pPr>
        <w:keepNext w:val="0"/>
        <w:spacing w:before="0" w:after="160" w:line="269" w:lineRule="auto"/>
      </w:pPr>
      <w:r>
        <w:rPr>
          <w:b/>
        </w:rPr>
        <w:t xml:space="preserve">Delivery: </w:t>
      </w:r>
      <w:r>
        <w:t>Docker, GitHub Actions, CI/CD, Vitest, Git, Agile / Scrum, Jira</w:t>
      </w:r>
    </w:p>
    <w:p>
      <w:pPr>
        <w:pStyle w:val="Heading1"/>
        <w:keepNext/>
        <w:spacing w:before="280" w:after="200" w:line="269" w:lineRule="auto"/>
      </w:pPr>
      <w:r>
        <w:rPr>
          <w:rFonts w:ascii="Calibri" w:hAnsi="Calibri"/>
          <w:b/>
          <w:color w:val="245A65"/>
          <w:sz w:val="18"/>
          <w:spacing w:val="22"/>
        </w:rPr>
        <w:t>EDUCATION</w:t>
      </w:r>
    </w:p>
    <w:p>
      <w:pPr>
        <w:keepNext/>
        <w:spacing w:before="0" w:after="60" w:line="269" w:lineRule="auto"/>
      </w:pPr>
      <w:r>
        <w:rPr>
          <w:rFonts w:ascii="Calibri" w:hAnsi="Calibri"/>
          <w:b/>
          <w:color w:val="152A34"/>
          <w:sz w:val="22"/>
        </w:rPr>
        <w:t>MSc Information Technology</w:t>
      </w:r>
    </w:p>
    <w:p>
      <w:pPr>
        <w:keepNext w:val="0"/>
        <w:spacing w:before="0" w:after="80" w:line="269" w:lineRule="auto"/>
      </w:pPr>
      <w:r>
        <w:rPr>
          <w:rFonts w:ascii="Calibri" w:hAnsi="Calibri"/>
          <w:color w:val="62737A"/>
          <w:sz w:val="19"/>
        </w:rPr>
        <w:t>University of Dhaka</w:t>
      </w:r>
      <w:r>
        <w:rPr>
          <w:rFonts w:ascii="Calibri" w:hAnsi="Calibri"/>
          <w:color w:val="62737A"/>
          <w:sz w:val="19"/>
        </w:rPr>
        <w:br/>
      </w:r>
      <w:r>
        <w:rPr>
          <w:rFonts w:ascii="Calibri" w:hAnsi="Calibri"/>
          <w:color w:val="62737A"/>
          <w:sz w:val="19"/>
        </w:rPr>
        <w:t>Institute of Information Technology</w:t>
      </w:r>
    </w:p>
    <w:p>
      <w:pPr>
        <w:keepNext w:val="0"/>
        <w:spacing w:before="0" w:after="200" w:line="269" w:lineRule="auto"/>
      </w:pPr>
      <w:r>
        <w:rPr>
          <w:rFonts w:ascii="Calibri" w:hAnsi="Calibri"/>
          <w:color w:val="62737A"/>
          <w:sz w:val="19"/>
        </w:rPr>
        <w:t>2020 – Jan 2022</w:t>
      </w:r>
    </w:p>
    <w:p>
      <w:pPr>
        <w:keepNext/>
        <w:spacing w:before="0" w:after="60" w:line="269" w:lineRule="auto"/>
      </w:pPr>
      <w:r>
        <w:rPr>
          <w:rFonts w:ascii="Calibri" w:hAnsi="Calibri"/>
          <w:b/>
          <w:color w:val="152A34"/>
          <w:sz w:val="22"/>
        </w:rPr>
        <w:t>BSc Computer Engineering</w:t>
      </w:r>
    </w:p>
    <w:p>
      <w:pPr>
        <w:keepNext w:val="0"/>
        <w:spacing w:before="0" w:after="80" w:line="269" w:lineRule="auto"/>
      </w:pPr>
      <w:r>
        <w:rPr>
          <w:rFonts w:ascii="Calibri" w:hAnsi="Calibri"/>
          <w:color w:val="62737A"/>
          <w:sz w:val="19"/>
        </w:rPr>
        <w:t>Bangladesh Army International University of Science and Technology</w:t>
      </w:r>
    </w:p>
    <w:p>
      <w:pPr>
        <w:keepNext w:val="0"/>
        <w:spacing w:before="0" w:after="200" w:line="269" w:lineRule="auto"/>
      </w:pPr>
      <w:r>
        <w:rPr>
          <w:rFonts w:ascii="Calibri" w:hAnsi="Calibri"/>
          <w:color w:val="62737A"/>
          <w:sz w:val="19"/>
        </w:rPr>
        <w:t>2015 – 2019</w:t>
      </w:r>
    </w:p>
    <w:p>
      <w:pPr>
        <w:pStyle w:val="Heading1"/>
        <w:keepNext/>
        <w:spacing w:before="280" w:after="200" w:line="269" w:lineRule="auto"/>
      </w:pPr>
      <w:r>
        <w:rPr>
          <w:rFonts w:ascii="Calibri" w:hAnsi="Calibri"/>
          <w:b/>
          <w:color w:val="245A65"/>
          <w:sz w:val="18"/>
          <w:spacing w:val="22"/>
        </w:rPr>
        <w:t>AWARDS AND RECOGNITION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W w:w="10180" w:type="dxa"/>
        <w:tblBorders>
          <w:top w:val="nil" w:sz="5" w:color="DBE3E3"/>
          <w:left w:val="nil" w:sz="5" w:color="DBE3E3"/>
          <w:bottom w:val="nil" w:sz="5" w:color="DBE3E3"/>
          <w:right w:val="nil" w:sz="5" w:color="DBE3E3"/>
          <w:insideH w:val="nil" w:sz="5" w:color="DBE3E3"/>
          <w:insideV w:val="nil" w:sz="5" w:color="DBE3E3"/>
        </w:tblBorders>
      </w:tblPr>
      <w:tblGrid>
        <w:gridCol w:w="10181"/>
      </w:tblGrid>
      <w:tr>
        <w:trPr>
          <w:cantSplit/>
        </w:trPr>
        <w:tc>
          <w:tcPr>
            <w:tcW w:type="dxa" w:w="10181"/>
            <w:tcMar>
              <w:top w:w="170" w:type="dxa"/>
              <w:left w:w="170" w:type="dxa"/>
              <w:bottom w:w="170" w:type="dxa"/>
              <w:right w:w="170" w:type="dxa"/>
            </w:tcMar>
            <w:shd w:fill="F6F8F7" w:val="clear"/>
            <w:vAlign w:val="center"/>
            <w:tcBorders>
              <w:left w:val="single" w:color="809D9B" w:sz="12"/>
            </w:tcBorders>
          </w:tcPr>
          <w:p>
            <w:pPr>
              <w:keepNext w:val="0"/>
              <w:spacing w:before="0" w:after="140" w:line="269" w:lineRule="auto"/>
            </w:pPr>
            <w:r>
              <w:rPr>
                <w:rFonts w:ascii="Calibri" w:hAnsi="Calibri"/>
                <w:b/>
                <w:color w:val="152A34"/>
                <w:sz w:val="19"/>
              </w:rPr>
              <w:t>AI ROI Champion Award</w:t>
            </w:r>
            <w:r>
              <w:rPr>
                <w:rFonts w:ascii="Calibri" w:hAnsi="Calibri"/>
                <w:color w:val="152A34"/>
                <w:sz w:val="19"/>
              </w:rPr>
              <w:br/>
            </w:r>
            <w:r>
              <w:rPr>
                <w:rFonts w:ascii="Calibri" w:hAnsi="Calibri"/>
                <w:color w:val="152A34"/>
                <w:sz w:val="19"/>
              </w:rPr>
              <w:t>BJIT · 2026</w:t>
            </w:r>
          </w:p>
          <w:p>
            <w:pPr>
              <w:keepNext w:val="0"/>
              <w:spacing w:before="0" w:after="140" w:line="269" w:lineRule="auto"/>
            </w:pPr>
            <w:r>
              <w:rPr>
                <w:rFonts w:ascii="Calibri" w:hAnsi="Calibri"/>
                <w:b/>
                <w:color w:val="152A34"/>
                <w:sz w:val="19"/>
              </w:rPr>
              <w:t>Best Performance Award 2025</w:t>
            </w:r>
            <w:r>
              <w:rPr>
                <w:rFonts w:ascii="Calibri" w:hAnsi="Calibri"/>
                <w:color w:val="152A34"/>
                <w:sz w:val="19"/>
              </w:rPr>
              <w:br/>
            </w:r>
            <w:r>
              <w:rPr>
                <w:rFonts w:ascii="Calibri" w:hAnsi="Calibri"/>
                <w:color w:val="152A34"/>
                <w:sz w:val="19"/>
              </w:rPr>
              <w:t>BJIT · 2025</w:t>
            </w:r>
          </w:p>
          <w:p>
            <w:pPr>
              <w:keepNext w:val="0"/>
              <w:spacing w:before="0" w:after="140" w:line="269" w:lineRule="auto"/>
            </w:pPr>
            <w:r>
              <w:rPr>
                <w:rFonts w:ascii="Calibri" w:hAnsi="Calibri"/>
                <w:b/>
                <w:color w:val="152A34"/>
                <w:sz w:val="19"/>
              </w:rPr>
              <w:t>Best Performance Award 2024</w:t>
            </w:r>
            <w:r>
              <w:rPr>
                <w:rFonts w:ascii="Calibri" w:hAnsi="Calibri"/>
                <w:color w:val="152A34"/>
                <w:sz w:val="19"/>
              </w:rPr>
              <w:br/>
            </w:r>
            <w:r>
              <w:rPr>
                <w:rFonts w:ascii="Calibri" w:hAnsi="Calibri"/>
                <w:color w:val="152A34"/>
                <w:sz w:val="19"/>
              </w:rPr>
              <w:t>BJIT · 2024</w:t>
            </w:r>
          </w:p>
        </w:tc>
      </w:tr>
    </w:tbl>
    <w:p>
      <w:pPr>
        <w:pStyle w:val="Heading1"/>
        <w:keepNext/>
        <w:spacing w:before="280" w:after="200" w:line="269" w:lineRule="auto"/>
      </w:pPr>
      <w:r>
        <w:rPr>
          <w:rFonts w:ascii="Calibri" w:hAnsi="Calibri"/>
          <w:b/>
          <w:color w:val="245A65"/>
          <w:sz w:val="18"/>
          <w:spacing w:val="22"/>
        </w:rPr>
        <w:t>CERTIFICATIONS</w:t>
      </w:r>
    </w:p>
    <w:p>
      <w:pPr>
        <w:keepNext/>
        <w:spacing w:before="0" w:after="60" w:line="269" w:lineRule="auto"/>
      </w:pPr>
      <w:hyperlink r:id="rId16">
        <w:r>
          <w:rPr>
            <w:rFonts w:ascii="Calibri" w:hAnsi="Calibri"/>
            <w:color w:val="245A65"/>
            <w:sz w:val="22"/>
            <w:b/>
          </w:rPr>
          <w:t>Supervised Machine Learning: Regression and Classification</w:t>
        </w:r>
      </w:hyperlink>
    </w:p>
    <w:p>
      <w:pPr>
        <w:keepNext w:val="0"/>
        <w:spacing w:before="0" w:after="200" w:line="269" w:lineRule="auto"/>
      </w:pPr>
      <w:r>
        <w:rPr>
          <w:rFonts w:ascii="Calibri" w:hAnsi="Calibri"/>
          <w:color w:val="62737A"/>
          <w:sz w:val="19"/>
        </w:rPr>
        <w:t>Coursera · Oct 2023</w:t>
      </w:r>
    </w:p>
    <w:p>
      <w:pPr>
        <w:keepNext/>
        <w:spacing w:before="0" w:after="60" w:line="269" w:lineRule="auto"/>
      </w:pPr>
      <w:hyperlink r:id="rId17">
        <w:r>
          <w:rPr>
            <w:rFonts w:ascii="Calibri" w:hAnsi="Calibri"/>
            <w:color w:val="245A65"/>
            <w:sz w:val="22"/>
            <w:b/>
          </w:rPr>
          <w:t>Linear Regression with NumPy and Python</w:t>
        </w:r>
      </w:hyperlink>
    </w:p>
    <w:p>
      <w:pPr>
        <w:keepNext w:val="0"/>
        <w:spacing w:before="0" w:after="200" w:line="269" w:lineRule="auto"/>
      </w:pPr>
      <w:r>
        <w:rPr>
          <w:rFonts w:ascii="Calibri" w:hAnsi="Calibri"/>
          <w:color w:val="62737A"/>
          <w:sz w:val="19"/>
        </w:rPr>
        <w:t>Coursera · Sep 2023</w:t>
      </w:r>
    </w:p>
    <w:sectPr w:rsidR="00FC693F" w:rsidRPr="0006063C" w:rsidSect="00034616">
      <w:footerReference w:type="default" r:id="rId18"/>
      <w:pgSz w:w="11909" w:h="16834"/>
      <w:pgMar w:top="792" w:right="864" w:bottom="792" w:left="864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tabs>
        <w:tab w:pos="10181" w:val="right"/>
      </w:tabs>
      <w:spacing w:before="0" w:after="0" w:line="269" w:lineRule="auto"/>
      <w:pBdr>
        <w:bottom w:val="single" w:sz="6" w:space="6" w:color="DBE3E3"/>
      </w:pBdr>
    </w:pPr>
    <w:r>
      <w:t>Gazi Md Saiful Hoque</w:t>
    </w:r>
    <w: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00" w:line="269" w:lineRule="auto"/>
    </w:pPr>
    <w:rPr>
      <w:rFonts w:ascii="Calibri" w:hAnsi="Calibri"/>
      <w:color w:val="152A34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480" w:after="100" w:line="269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152A34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00" w:after="100" w:line="269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152A34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spacing w:after="100" w:line="269" w:lineRule="auto"/>
      <w:contextualSpacing/>
    </w:pPr>
    <w:rPr>
      <w:rFonts w:asciiTheme="majorHAnsi" w:eastAsiaTheme="majorEastAsia" w:hAnsiTheme="majorHAnsi" w:cstheme="majorBidi" w:ascii="Calibri" w:hAnsi="Calibri"/>
      <w:color w:val="152A34"/>
      <w:spacing w:val="5"/>
      <w:kern w:val="28"/>
      <w:sz w:val="2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widowControl/>
      <w:numPr>
        <w:ilvl w:val="1"/>
      </w:numPr>
      <w:spacing w:after="100" w:line="269" w:lineRule="auto"/>
    </w:pPr>
    <w:rPr>
      <w:rFonts w:asciiTheme="majorHAnsi" w:eastAsiaTheme="majorEastAsia" w:hAnsiTheme="majorHAnsi" w:cstheme="majorBidi" w:ascii="Calibri" w:hAnsi="Calibri"/>
      <w:i/>
      <w:iCs/>
      <w:color w:val="152A34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widowControl/>
      <w:numPr>
        <w:numId w:val="1"/>
      </w:numPr>
      <w:spacing w:after="100" w:line="269" w:lineRule="auto"/>
      <w:contextualSpacing/>
    </w:pPr>
    <w:rPr>
      <w:rFonts w:ascii="Calibri" w:hAnsi="Calibri"/>
      <w:color w:val="152A34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hyperlink" Target="https://www.linkedin.com/in/saiful-hoque/" TargetMode="External"/><Relationship Id="rId12" Type="http://schemas.openxmlformats.org/officeDocument/2006/relationships/image" Target="media/image3.png"/><Relationship Id="rId13" Type="http://schemas.openxmlformats.org/officeDocument/2006/relationships/hyperlink" Target="mailto:saifulhoque30@gmail.com" TargetMode="External"/><Relationship Id="rId14" Type="http://schemas.openxmlformats.org/officeDocument/2006/relationships/image" Target="media/image4.png"/><Relationship Id="rId15" Type="http://schemas.openxmlformats.org/officeDocument/2006/relationships/hyperlink" Target="tel:+8801515672237" TargetMode="External"/><Relationship Id="rId16" Type="http://schemas.openxmlformats.org/officeDocument/2006/relationships/hyperlink" Target="https://www.coursera.org/account/accomplishments/certificate/675PFD8SQ6CB" TargetMode="External"/><Relationship Id="rId17" Type="http://schemas.openxmlformats.org/officeDocument/2006/relationships/hyperlink" Target="https://www.coursera.org/account/accomplishments/certificate/NPFDRRY8G264" TargetMode="External"/><Relationship Id="rId18" Type="http://schemas.openxmlformats.org/officeDocument/2006/relationships/footer" Target="footer1.xml"/><Relationship Id="rId19" Type="http://schemas.openxmlformats.org/officeDocument/2006/relationships/hyperlink" Target="https://saifulhoque.pages.dev/" TargetMode="External"/><Relationship Id="rId20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Gazi Md Saiful Hoque AI and Agentic Systems Resume</dc:title>
  <dc:subject/>
  <dc:creator>Gazi Md Saiful Hoque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